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ACB" w:rsidRP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CB">
        <w:rPr>
          <w:rFonts w:ascii="Times New Roman" w:hAnsi="Times New Roman" w:cs="Times New Roman"/>
          <w:b/>
          <w:sz w:val="28"/>
          <w:szCs w:val="28"/>
        </w:rPr>
        <w:t>ГОРОД МОСКВА</w:t>
      </w:r>
    </w:p>
    <w:p w:rsidR="008A6ACB" w:rsidRP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CB">
        <w:rPr>
          <w:rFonts w:ascii="Times New Roman" w:hAnsi="Times New Roman" w:cs="Times New Roman"/>
          <w:b/>
          <w:sz w:val="28"/>
          <w:szCs w:val="28"/>
        </w:rPr>
        <w:t>ЗАПАДНЫЙ АДМИНИСТРАТИВНЫЙ</w:t>
      </w:r>
    </w:p>
    <w:p w:rsidR="008A6ACB" w:rsidRP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CB">
        <w:rPr>
          <w:rFonts w:ascii="Times New Roman" w:hAnsi="Times New Roman" w:cs="Times New Roman"/>
          <w:b/>
          <w:sz w:val="28"/>
          <w:szCs w:val="28"/>
        </w:rPr>
        <w:t>ОКРУГ</w:t>
      </w:r>
    </w:p>
    <w:p w:rsidR="008A6ACB" w:rsidRP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CB">
        <w:rPr>
          <w:rFonts w:ascii="Times New Roman" w:hAnsi="Times New Roman" w:cs="Times New Roman"/>
          <w:b/>
          <w:sz w:val="28"/>
          <w:szCs w:val="28"/>
        </w:rPr>
        <w:t>ОБЩЕСТВЕННЫЙ ПУНКТ ОХРАНЫ ПОРЯДКА</w:t>
      </w:r>
    </w:p>
    <w:p w:rsid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CB">
        <w:rPr>
          <w:rFonts w:ascii="Times New Roman" w:hAnsi="Times New Roman" w:cs="Times New Roman"/>
          <w:b/>
          <w:sz w:val="28"/>
          <w:szCs w:val="28"/>
        </w:rPr>
        <w:t>РАЙОНА ФИЛИ-ДАВЫДКОВО</w:t>
      </w:r>
    </w:p>
    <w:p w:rsidR="008A6ACB" w:rsidRP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B" w:rsidRP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ACB">
        <w:rPr>
          <w:rFonts w:ascii="Times New Roman" w:hAnsi="Times New Roman" w:cs="Times New Roman"/>
          <w:b/>
          <w:sz w:val="28"/>
          <w:szCs w:val="28"/>
        </w:rPr>
        <w:t>СПРАВКА-ОТЧЕТ</w:t>
      </w:r>
    </w:p>
    <w:p w:rsid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 w:rsidRPr="008A6ACB">
        <w:rPr>
          <w:rFonts w:ascii="Times New Roman" w:hAnsi="Times New Roman" w:cs="Times New Roman"/>
          <w:b/>
          <w:sz w:val="28"/>
          <w:szCs w:val="28"/>
        </w:rPr>
        <w:t xml:space="preserve"> 12 месяцев 2015г.</w:t>
      </w:r>
    </w:p>
    <w:p w:rsidR="008A6ACB" w:rsidRPr="008A6ACB" w:rsidRDefault="008A6ACB" w:rsidP="008A6A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отчетном периоде на территории района действует 7 общественных пунктов охраны порядка, в работе которых участвует 111 членов ОПОП.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соответствии с выполнением мероприятий Государственной программы г. Москвы «Безопасный город» на 2012-2018 г., основные усилия общественных пунктов охраны порядка направлены на организацию содействия органам государственной власти, органам местного самоуправления в профилактике правонарушений на территории района.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Эта работа была направлена, прежде всего, на активизацию борьбы с алкоголизмом, наркоманией, безнадзорностью и беспризорностью несовершеннолетних, незаконную миграцию.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течение отчетного периода в общественные пункты охраны порядка поступило - 4383 информации, в том числе обращений по вопросам обеспечения общественного порядка, личной безопасности граждан и их собственности.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По категориям правонарушений: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о распитии алкогольной продукции и курения в общественных местах -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249;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о нарушениях тишины и покоя граждан - 182;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о семейно-бытовых конфликтах - 186;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о нахождении лиц БОМЖ в жилом секторе - 37;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о фактах несанкционированной торговли - 104;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о нарушениях миграционного законодательства - 206, в том числе информаций поступивших с портала «Наш город».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в органы государственной власти направлено 103 информации по вопросам укрепления общественного порядка на территории района Фил и-Давыдково.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Так же председатели советов ОПОП активно принимают участие в ежеквартальных отчетах участковых уполномоченных полиции перед населением, о проделанной работе и реализации предложений граждан по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sz w:val="28"/>
          <w:szCs w:val="28"/>
        </w:rPr>
        <w:t>укреплению</w:t>
      </w:r>
      <w:proofErr w:type="gramEnd"/>
      <w:r w:rsidRPr="008A6ACB">
        <w:rPr>
          <w:rFonts w:ascii="Times New Roman" w:hAnsi="Times New Roman" w:cs="Times New Roman"/>
          <w:sz w:val="28"/>
          <w:szCs w:val="28"/>
        </w:rPr>
        <w:t xml:space="preserve"> правопорядка на обслуживаемой территории. Жители 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sz w:val="28"/>
          <w:szCs w:val="28"/>
        </w:rPr>
        <w:t>одобрительно</w:t>
      </w:r>
      <w:proofErr w:type="gramEnd"/>
      <w:r w:rsidRPr="008A6ACB">
        <w:rPr>
          <w:rFonts w:ascii="Times New Roman" w:hAnsi="Times New Roman" w:cs="Times New Roman"/>
          <w:sz w:val="28"/>
          <w:szCs w:val="28"/>
        </w:rPr>
        <w:t xml:space="preserve"> отзываются о таких встречах районного масштаба, поскольку они получают исчерпывающую информацию по всем интересующим их вопросам.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 xml:space="preserve">Ежемесячно председателями советов ОПОП проводятся предупредительно - профилактические мероприятия, направленные на предотвращение мошеннических действий в отношении граждан пенсионного </w:t>
      </w:r>
      <w:r w:rsidRPr="008A6ACB">
        <w:rPr>
          <w:rFonts w:ascii="Times New Roman" w:hAnsi="Times New Roman" w:cs="Times New Roman"/>
          <w:sz w:val="28"/>
          <w:szCs w:val="28"/>
        </w:rPr>
        <w:lastRenderedPageBreak/>
        <w:t>возраста, пожилых и престарелых лиц, инвалидов, одиноко проживающих и малоимущих граждан.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Так же председатели советов ОПОП проводят комиссионные обследования жилых домов на предмет противопожарной и антитеррористической безопасности, т.е. - захламление подъездов, лестничных пролетов, чердаков и подвалов, отсутствие в домах повышенной этажности средств пожаротушения.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С октября месяца 2015 года председатели советов ОПОП совместно с УУП, ИД, принимают участие в рейдах «Безопасная столица». В ходе проведенных рейдов, за истекший период были выявлены нарушения правил парковки в жилом секторе, правил выгула и содержания домашних животных, распития спиртных напитков в общественных местах и фактов несанкционированной торговли. По выявленным нарушениям составлены административные протоколы и направлены письма в Управу района.</w:t>
      </w:r>
    </w:p>
    <w:p w:rsidR="008A6ACB" w:rsidRPr="008A6ACB" w:rsidRDefault="008A6ACB" w:rsidP="008A6A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Исходя из анализа результатов деятельности общественных пунктов охраны порядка района за 12 месяцев 2015 года, в дальнейшем необходимо: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 повысить эффективность работы по организации взаимодействия с органами и учреждениями системы профилактики правонарушений;</w:t>
      </w:r>
    </w:p>
    <w:p w:rsid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A6ACB">
        <w:rPr>
          <w:rFonts w:ascii="Times New Roman" w:hAnsi="Times New Roman" w:cs="Times New Roman"/>
          <w:sz w:val="28"/>
          <w:szCs w:val="28"/>
        </w:rPr>
        <w:t>на постоянной основе проводить мониторинги состояния общественного порядка на территории района Фили-Давыдково.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6ACB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8A6ACB">
        <w:rPr>
          <w:rFonts w:ascii="Times New Roman" w:hAnsi="Times New Roman" w:cs="Times New Roman"/>
          <w:sz w:val="28"/>
          <w:szCs w:val="28"/>
        </w:rPr>
        <w:t xml:space="preserve">. председателя совета 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ОПОП район</w:t>
      </w:r>
      <w:r>
        <w:rPr>
          <w:rFonts w:ascii="Times New Roman" w:hAnsi="Times New Roman" w:cs="Times New Roman"/>
          <w:sz w:val="28"/>
          <w:szCs w:val="28"/>
        </w:rPr>
        <w:t xml:space="preserve">а Фили-Давыдково ЗАО г. Москвы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А.Е. Анкудинова</w:t>
      </w:r>
    </w:p>
    <w:p w:rsid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ACB" w:rsidRDefault="008A6A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lastRenderedPageBreak/>
        <w:t>Справка по итогам работы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8A6ACB">
        <w:rPr>
          <w:rFonts w:ascii="Times New Roman" w:hAnsi="Times New Roman" w:cs="Times New Roman"/>
          <w:sz w:val="28"/>
          <w:szCs w:val="28"/>
        </w:rPr>
        <w:t xml:space="preserve"> бюджетного учреждения города Москвы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«Центр досуга и творчества «Огонек»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6ACB">
        <w:rPr>
          <w:rFonts w:ascii="Times New Roman" w:hAnsi="Times New Roman" w:cs="Times New Roman"/>
          <w:sz w:val="28"/>
          <w:szCs w:val="28"/>
        </w:rPr>
        <w:t xml:space="preserve"> 2015 году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С 2008 года на территории района Фил и-Давыдково по адресу, ул. Малая Филевская, дом 50, функционирует Центр организации детей и подростков по месту жительства «Огонек», ныне государственное бюджетное учреждение города Москвы «Центр досуга и творчества «Огонек». Все эти годы мы работаем в тесном сотрудничестве с управой района Фили-Давыдково.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Задачей нашего Центра является повышение социального статуса семьи в современном обществе, формирование её духовного единства, направленного на объединение подрастающего и старшего поколения, приобщении всех членов семьи к миру прекрасного и удивительного, развития творческих способностей и преемственности традиций проведения культурного семейного досуга, а также физкультурно-оздоровительная и спортивная работа с населением по месту жительства, организация развлекательных мероприятий для населения на внутри дворовых и спортивных площадках.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Приоритетное направление—работа с многодетными семьями, в том числе с семьями, где воспитываются дети с особенностями развития, а также со школьниками и подростками района Фили-Давыдково, находящимися в трудной жизненной ситуации.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Центр досуга и творчества «Огонек» в 2015 году работал в соответствии с государственным заданием, утвержденном распоряжением префектуры Западного административного округа города Москвы № 866-РП от 19 декабря 2014 года.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2015 году на обеспечение деятельности учреждению были выделены субсидии в сумме 8 305 700,00 рублей, из них: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6ACB">
        <w:rPr>
          <w:rFonts w:ascii="Times New Roman" w:hAnsi="Times New Roman" w:cs="Times New Roman"/>
          <w:sz w:val="28"/>
          <w:szCs w:val="28"/>
        </w:rPr>
        <w:t xml:space="preserve"> досуговую работу - 5 545 723.00 рубля;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A6ACB">
        <w:rPr>
          <w:rFonts w:ascii="Times New Roman" w:hAnsi="Times New Roman" w:cs="Times New Roman"/>
          <w:sz w:val="28"/>
          <w:szCs w:val="28"/>
        </w:rPr>
        <w:t xml:space="preserve"> спортивную работу - 2 759 977.00 рублей.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Численность работников учреждения в 2015 году составила 16 штатных единиц, из них: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руководитель - 1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бухгалтер - I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административно-хозяйственный аппарат-4,5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педагогический персонал - 4,5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•</w:t>
      </w:r>
      <w:r w:rsidRPr="008A6ACB">
        <w:rPr>
          <w:rFonts w:ascii="Times New Roman" w:hAnsi="Times New Roman" w:cs="Times New Roman"/>
          <w:sz w:val="28"/>
          <w:szCs w:val="28"/>
        </w:rPr>
        <w:tab/>
        <w:t>инструкторы и тренеры по спортивной работе - 5 Услугами нашего Центра пользуются более 200 московских семей.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учреждении работало 29 кружков и спортивных секций, из них: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кружков и секций для детей - 21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кружков и секций для взрослых - 5;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-</w:t>
      </w:r>
      <w:r w:rsidRPr="008A6ACB">
        <w:rPr>
          <w:rFonts w:ascii="Times New Roman" w:hAnsi="Times New Roman" w:cs="Times New Roman"/>
          <w:sz w:val="28"/>
          <w:szCs w:val="28"/>
        </w:rPr>
        <w:tab/>
        <w:t>для жителей «золотого» возраста - 3 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ACB">
        <w:rPr>
          <w:rFonts w:ascii="Times New Roman" w:hAnsi="Times New Roman" w:cs="Times New Roman"/>
          <w:sz w:val="28"/>
          <w:szCs w:val="28"/>
        </w:rPr>
        <w:t>лыжным</w:t>
      </w:r>
      <w:proofErr w:type="gramEnd"/>
      <w:r w:rsidRPr="008A6ACB">
        <w:rPr>
          <w:rFonts w:ascii="Times New Roman" w:hAnsi="Times New Roman" w:cs="Times New Roman"/>
          <w:sz w:val="28"/>
          <w:szCs w:val="28"/>
        </w:rPr>
        <w:t xml:space="preserve"> гонкам, играм в </w:t>
      </w:r>
      <w:proofErr w:type="spellStart"/>
      <w:r w:rsidRPr="008A6ACB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8A6ACB">
        <w:rPr>
          <w:rFonts w:ascii="Times New Roman" w:hAnsi="Times New Roman" w:cs="Times New Roman"/>
          <w:sz w:val="28"/>
          <w:szCs w:val="28"/>
        </w:rPr>
        <w:t xml:space="preserve"> и бадминтон, ежегодно участвуют в соревнованиях по спортивной гимнастике «Музыкальная кроссовка».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Результатом их участия является, как правило, добавление в нашу «Копилку достижений» грамот, призов, кубков и других очередных наград.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lastRenderedPageBreak/>
        <w:t>Наиболее активных ребят поощряем поездкой в летние оздоровительные лагеря на льготных условиях.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Всего за 2015 год в мероприятиях различного уровня принимало участие более 3500 тысяч наших жителей.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Большим достижением Центра является обучение и подготовка детей (тренер Каспаров А.Г.) к проведению турниров на получение 3 юношеского спортивного разряда по шахматам. Разряды были присвоены в 2015 году Комитетом по физической культуре и спорту ЗАО г. Москвы девяти школьникам, занимающимся в шахматной секции «Белая ладья».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В каникулярный период в Центре продолжают работать кружки и спортивные секции, проводятся запланированные мероприятия, которые освещаются на сайте учреждения.</w:t>
      </w:r>
    </w:p>
    <w:p w:rsidR="008A6ACB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Директор ГБУ</w:t>
      </w:r>
    </w:p>
    <w:p w:rsidR="00530A37" w:rsidRPr="008A6ACB" w:rsidRDefault="008A6ACB" w:rsidP="008A6A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ACB">
        <w:rPr>
          <w:rFonts w:ascii="Times New Roman" w:hAnsi="Times New Roman" w:cs="Times New Roman"/>
          <w:sz w:val="28"/>
          <w:szCs w:val="28"/>
        </w:rPr>
        <w:t>«Центр досуга и творчества «Огонек»</w:t>
      </w:r>
    </w:p>
    <w:sectPr w:rsidR="00530A37" w:rsidRPr="008A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ACB"/>
    <w:rsid w:val="00530A37"/>
    <w:rsid w:val="008A6ACB"/>
    <w:rsid w:val="00F8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BD35D-7A10-4209-A4D0-11B9B681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977</Words>
  <Characters>5570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2016-06-27T11:51:00Z</dcterms:created>
  <dcterms:modified xsi:type="dcterms:W3CDTF">2016-06-27T11:54:00Z</dcterms:modified>
</cp:coreProperties>
</file>